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9846" w14:textId="77777777" w:rsidR="00162760" w:rsidRDefault="00162760">
      <w:pPr>
        <w:rPr>
          <w:b/>
          <w:sz w:val="36"/>
          <w:szCs w:val="36"/>
        </w:rPr>
      </w:pPr>
    </w:p>
    <w:p w14:paraId="693F4645" w14:textId="77777777" w:rsidR="00162760" w:rsidRDefault="00162760">
      <w:pPr>
        <w:rPr>
          <w:b/>
          <w:sz w:val="36"/>
          <w:szCs w:val="36"/>
        </w:rPr>
      </w:pPr>
    </w:p>
    <w:p w14:paraId="77FDF19B" w14:textId="77777777" w:rsidR="00162760" w:rsidRDefault="00162760">
      <w:pPr>
        <w:rPr>
          <w:b/>
          <w:sz w:val="36"/>
          <w:szCs w:val="36"/>
        </w:rPr>
      </w:pPr>
    </w:p>
    <w:p w14:paraId="54B9A66D" w14:textId="77777777" w:rsidR="00162760" w:rsidRDefault="00162760">
      <w:pPr>
        <w:rPr>
          <w:b/>
          <w:sz w:val="36"/>
          <w:szCs w:val="36"/>
        </w:rPr>
      </w:pPr>
    </w:p>
    <w:p w14:paraId="36B87E56" w14:textId="642AB048" w:rsidR="00DD1661" w:rsidRDefault="006930C3">
      <w:pPr>
        <w:rPr>
          <w:b/>
          <w:sz w:val="36"/>
          <w:szCs w:val="36"/>
        </w:rPr>
      </w:pPr>
      <w:r w:rsidRPr="006930C3">
        <w:rPr>
          <w:b/>
          <w:noProof/>
          <w:sz w:val="36"/>
          <w:szCs w:val="36"/>
          <w:lang w:eastAsia="en-GB"/>
        </w:rPr>
        <w:drawing>
          <wp:anchor distT="0" distB="0" distL="114300" distR="114300" simplePos="0" relativeHeight="251658240" behindDoc="0" locked="0" layoutInCell="1" allowOverlap="1" wp14:anchorId="36B87E63" wp14:editId="36B87E64">
            <wp:simplePos x="914400" y="914400"/>
            <wp:positionH relativeFrom="margin">
              <wp:align>right</wp:align>
            </wp:positionH>
            <wp:positionV relativeFrom="margin">
              <wp:align>top</wp:align>
            </wp:positionV>
            <wp:extent cx="1747520" cy="914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ct Size New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7520" cy="914400"/>
                    </a:xfrm>
                    <a:prstGeom prst="rect">
                      <a:avLst/>
                    </a:prstGeom>
                  </pic:spPr>
                </pic:pic>
              </a:graphicData>
            </a:graphic>
          </wp:anchor>
        </w:drawing>
      </w:r>
      <w:r w:rsidRPr="006930C3">
        <w:rPr>
          <w:b/>
          <w:sz w:val="36"/>
          <w:szCs w:val="36"/>
        </w:rPr>
        <w:t xml:space="preserve">ANNUAL DUTY OF CANDOUR REPORT FOR </w:t>
      </w:r>
      <w:r w:rsidR="0053256B">
        <w:rPr>
          <w:b/>
          <w:sz w:val="36"/>
          <w:szCs w:val="36"/>
        </w:rPr>
        <w:t xml:space="preserve">THE </w:t>
      </w:r>
      <w:r w:rsidRPr="006930C3">
        <w:rPr>
          <w:b/>
          <w:sz w:val="36"/>
          <w:szCs w:val="36"/>
        </w:rPr>
        <w:t>PERIOD 1</w:t>
      </w:r>
      <w:r w:rsidRPr="006930C3">
        <w:rPr>
          <w:b/>
          <w:sz w:val="36"/>
          <w:szCs w:val="36"/>
          <w:vertAlign w:val="superscript"/>
        </w:rPr>
        <w:t>ST</w:t>
      </w:r>
      <w:r w:rsidRPr="006930C3">
        <w:rPr>
          <w:b/>
          <w:sz w:val="36"/>
          <w:szCs w:val="36"/>
        </w:rPr>
        <w:t xml:space="preserve"> APRIL 20</w:t>
      </w:r>
      <w:r w:rsidR="002A4948">
        <w:rPr>
          <w:b/>
          <w:sz w:val="36"/>
          <w:szCs w:val="36"/>
        </w:rPr>
        <w:t>2</w:t>
      </w:r>
      <w:r w:rsidR="0053256B">
        <w:rPr>
          <w:b/>
          <w:sz w:val="36"/>
          <w:szCs w:val="36"/>
        </w:rPr>
        <w:t>3</w:t>
      </w:r>
      <w:r w:rsidRPr="006930C3">
        <w:rPr>
          <w:b/>
          <w:sz w:val="36"/>
          <w:szCs w:val="36"/>
        </w:rPr>
        <w:t xml:space="preserve"> TO 31</w:t>
      </w:r>
      <w:r w:rsidRPr="006930C3">
        <w:rPr>
          <w:b/>
          <w:sz w:val="36"/>
          <w:szCs w:val="36"/>
          <w:vertAlign w:val="superscript"/>
        </w:rPr>
        <w:t>ST</w:t>
      </w:r>
      <w:r w:rsidRPr="006930C3">
        <w:rPr>
          <w:b/>
          <w:sz w:val="36"/>
          <w:szCs w:val="36"/>
        </w:rPr>
        <w:t xml:space="preserve"> MARCH 20</w:t>
      </w:r>
      <w:r w:rsidR="002A4948">
        <w:rPr>
          <w:b/>
          <w:sz w:val="36"/>
          <w:szCs w:val="36"/>
        </w:rPr>
        <w:t>2</w:t>
      </w:r>
      <w:r w:rsidR="0053256B">
        <w:rPr>
          <w:b/>
          <w:sz w:val="36"/>
          <w:szCs w:val="36"/>
        </w:rPr>
        <w:t>4</w:t>
      </w:r>
    </w:p>
    <w:p w14:paraId="3BB7C431" w14:textId="77777777" w:rsidR="00162760" w:rsidRDefault="00162760">
      <w:pPr>
        <w:rPr>
          <w:b/>
          <w:sz w:val="28"/>
          <w:szCs w:val="28"/>
        </w:rPr>
      </w:pPr>
    </w:p>
    <w:p w14:paraId="0DB69A1D" w14:textId="71328F7E" w:rsidR="006E3E5B" w:rsidRDefault="00FE3205">
      <w:pPr>
        <w:rPr>
          <w:b/>
          <w:sz w:val="28"/>
          <w:szCs w:val="28"/>
        </w:rPr>
      </w:pPr>
      <w:r>
        <w:rPr>
          <w:b/>
          <w:sz w:val="28"/>
          <w:szCs w:val="28"/>
        </w:rPr>
        <w:t xml:space="preserve">Duty of Candour </w:t>
      </w:r>
    </w:p>
    <w:p w14:paraId="6AB54BB3" w14:textId="04BEEB7F" w:rsidR="002C6353" w:rsidRPr="00581405" w:rsidRDefault="00FE3205" w:rsidP="002C6353">
      <w:r>
        <w:t xml:space="preserve">The requirements of legislation relating to </w:t>
      </w:r>
      <w:r w:rsidR="00617CA7">
        <w:t xml:space="preserve">the </w:t>
      </w:r>
      <w:r>
        <w:t xml:space="preserve">duty of candour apply to all health and social care services in Scotland </w:t>
      </w:r>
      <w:r w:rsidR="00206EA1">
        <w:t>meaning</w:t>
      </w:r>
      <w:r>
        <w:t xml:space="preserve"> </w:t>
      </w:r>
      <w:r w:rsidR="00206EA1">
        <w:t xml:space="preserve">that it </w:t>
      </w:r>
      <w:r w:rsidR="002C6353" w:rsidRPr="00581405">
        <w:t xml:space="preserve">is a legal requirement when things go wrong and mistakes happen, </w:t>
      </w:r>
      <w:r w:rsidR="00206EA1">
        <w:t xml:space="preserve">that </w:t>
      </w:r>
      <w:r w:rsidR="002C6353" w:rsidRPr="00581405">
        <w:t>the people affected understand what has happened, receive an apology, and that organisations learn how to improve for the future.</w:t>
      </w:r>
    </w:p>
    <w:p w14:paraId="74050891" w14:textId="6EF86110" w:rsidR="000E4538" w:rsidRPr="00753308" w:rsidRDefault="00FE3205">
      <w:r>
        <w:t xml:space="preserve">An important part of this duty is that we publish an annual report which describes how </w:t>
      </w:r>
      <w:r w:rsidR="004D2581">
        <w:t xml:space="preserve">Gateway </w:t>
      </w:r>
      <w:r>
        <w:t xml:space="preserve">has implemented and operated the duty of candour procedures </w:t>
      </w:r>
      <w:r w:rsidR="004D2581">
        <w:t>since the last reporting period.</w:t>
      </w:r>
      <w:r w:rsidR="00E272A6" w:rsidRPr="00E272A6">
        <w:t xml:space="preserve"> </w:t>
      </w:r>
      <w:r w:rsidR="00E272A6" w:rsidRPr="00581405">
        <w:t xml:space="preserve">This report describes how our care service has operated </w:t>
      </w:r>
      <w:r w:rsidR="0030387B">
        <w:t xml:space="preserve">our </w:t>
      </w:r>
      <w:r w:rsidR="00E272A6" w:rsidRPr="00581405">
        <w:t>duty of candour during the time between 1 April 20</w:t>
      </w:r>
      <w:r w:rsidR="00E272A6">
        <w:t>23</w:t>
      </w:r>
      <w:r w:rsidR="00E272A6" w:rsidRPr="00581405">
        <w:t xml:space="preserve"> and 31 March 20</w:t>
      </w:r>
      <w:r w:rsidR="00E272A6">
        <w:t>24</w:t>
      </w:r>
      <w:r w:rsidR="00E272A6" w:rsidRPr="00581405">
        <w:t>.</w:t>
      </w:r>
    </w:p>
    <w:p w14:paraId="1D6E2780" w14:textId="5DE9F912" w:rsidR="00FE3205" w:rsidRDefault="00E17607">
      <w:pPr>
        <w:rPr>
          <w:b/>
          <w:sz w:val="28"/>
          <w:szCs w:val="28"/>
        </w:rPr>
      </w:pPr>
      <w:r>
        <w:rPr>
          <w:b/>
          <w:sz w:val="28"/>
          <w:szCs w:val="28"/>
        </w:rPr>
        <w:t xml:space="preserve">Gateway </w:t>
      </w:r>
    </w:p>
    <w:p w14:paraId="36B87E57" w14:textId="53436C91" w:rsidR="006930C3" w:rsidRPr="00581405" w:rsidRDefault="00581405">
      <w:pPr>
        <w:rPr>
          <w:b/>
        </w:rPr>
      </w:pPr>
      <w:r w:rsidRPr="00581405">
        <w:t>Gateway provides a range of services and activities to vulnerable adults across the Highland region, including Housing Support, Supported Accommodation, Community Support</w:t>
      </w:r>
      <w:r w:rsidR="00E17607">
        <w:t xml:space="preserve"> and Outreach</w:t>
      </w:r>
      <w:r w:rsidRPr="00581405">
        <w:t>, Self-Directed Support and Care at Home.  Our vision is that ‘every person will be empowered to achieve their full potential’.</w:t>
      </w:r>
    </w:p>
    <w:p w14:paraId="12939A9E" w14:textId="51CFFF8F" w:rsidR="00002F8C" w:rsidRDefault="00002F8C">
      <w:r>
        <w:t xml:space="preserve">Gateway is committed to providing a truly personalised organisational response when things go wrong, we </w:t>
      </w:r>
      <w:r w:rsidR="00915465">
        <w:t>commit</w:t>
      </w:r>
      <w:r>
        <w:t xml:space="preserve"> to the provision of support and training for everyone involved in meetings, reviews and actions arising from a duty of candour incident.</w:t>
      </w:r>
    </w:p>
    <w:p w14:paraId="03BFA772" w14:textId="45D95E02" w:rsidR="004C3E39" w:rsidRDefault="009A58A0">
      <w:pPr>
        <w:rPr>
          <w:b/>
          <w:bCs/>
          <w:sz w:val="28"/>
          <w:szCs w:val="28"/>
        </w:rPr>
      </w:pPr>
      <w:r>
        <w:rPr>
          <w:b/>
          <w:bCs/>
          <w:sz w:val="28"/>
          <w:szCs w:val="28"/>
        </w:rPr>
        <w:t>Gateway’s P</w:t>
      </w:r>
      <w:r w:rsidR="00A568D9" w:rsidRPr="009A58A0">
        <w:rPr>
          <w:b/>
          <w:bCs/>
          <w:sz w:val="28"/>
          <w:szCs w:val="28"/>
        </w:rPr>
        <w:t>ro</w:t>
      </w:r>
      <w:r w:rsidRPr="009A58A0">
        <w:rPr>
          <w:b/>
          <w:bCs/>
          <w:sz w:val="28"/>
          <w:szCs w:val="28"/>
        </w:rPr>
        <w:t xml:space="preserve">cess for Duty of Candour </w:t>
      </w:r>
    </w:p>
    <w:p w14:paraId="2321211F" w14:textId="7394BA7F" w:rsidR="008A1AC8" w:rsidRDefault="009A58A0" w:rsidP="008A1AC8">
      <w:r w:rsidRPr="00581405">
        <w:t xml:space="preserve">Where something has happened that </w:t>
      </w:r>
      <w:r w:rsidR="00920BF9">
        <w:t>may trigger</w:t>
      </w:r>
      <w:r w:rsidRPr="00581405">
        <w:t xml:space="preserve"> the duty of candour, our support staff ensure that the incident is reported immediately.  The Service Manager ensures that all incidents (whether Duty of Candour applies or not) are passed to the </w:t>
      </w:r>
      <w:r w:rsidR="009A7C9D">
        <w:t xml:space="preserve">Named </w:t>
      </w:r>
      <w:r w:rsidRPr="00581405">
        <w:t>Person, our General Manager, within 24 hours.</w:t>
      </w:r>
      <w:r w:rsidR="008A1AC8" w:rsidRPr="008A1AC8">
        <w:t xml:space="preserve"> </w:t>
      </w:r>
    </w:p>
    <w:p w14:paraId="67B37691" w14:textId="50972266" w:rsidR="008A1AC8" w:rsidRDefault="008A1AC8" w:rsidP="008A1AC8">
      <w:r>
        <w:t xml:space="preserve">For the duty of candour to apply, the service user needs to have suffered </w:t>
      </w:r>
      <w:r w:rsidR="00357081">
        <w:t xml:space="preserve">significant </w:t>
      </w:r>
      <w:r>
        <w:t xml:space="preserve">harm (not related to the natural course of someone’s illness or underlying condition) AND for </w:t>
      </w:r>
      <w:r w:rsidR="004C7097">
        <w:t xml:space="preserve">the </w:t>
      </w:r>
      <w:r>
        <w:t xml:space="preserve">care or service issues </w:t>
      </w:r>
      <w:r w:rsidR="004C7097">
        <w:t xml:space="preserve">of Gateway </w:t>
      </w:r>
      <w:r>
        <w:t xml:space="preserve">to have contributed to this event </w:t>
      </w:r>
      <w:r w:rsidR="00964121">
        <w:t>where -</w:t>
      </w:r>
    </w:p>
    <w:p w14:paraId="676574FD" w14:textId="5EBFF0DD" w:rsidR="000879C0" w:rsidRDefault="008A1AC8" w:rsidP="00162760">
      <w:pPr>
        <w:pStyle w:val="ListParagraph"/>
        <w:numPr>
          <w:ilvl w:val="0"/>
          <w:numId w:val="2"/>
        </w:numPr>
      </w:pPr>
      <w:r>
        <w:t xml:space="preserve">A different plan and/or </w:t>
      </w:r>
      <w:r w:rsidR="009C7230">
        <w:t xml:space="preserve">a </w:t>
      </w:r>
      <w:r w:rsidR="000879C0">
        <w:t xml:space="preserve">different </w:t>
      </w:r>
      <w:r>
        <w:t xml:space="preserve">delivery of care </w:t>
      </w:r>
      <w:r w:rsidR="00964121">
        <w:t xml:space="preserve">and support </w:t>
      </w:r>
      <w:r>
        <w:t>may have resulted in a different outcome</w:t>
      </w:r>
      <w:r w:rsidR="009C7230">
        <w:t>.</w:t>
      </w:r>
      <w:r>
        <w:t xml:space="preserve"> </w:t>
      </w:r>
    </w:p>
    <w:p w14:paraId="3CC1E8FA" w14:textId="0F412178" w:rsidR="009A58A0" w:rsidRPr="00581405" w:rsidRDefault="008A1AC8" w:rsidP="00162760">
      <w:pPr>
        <w:pStyle w:val="ListParagraph"/>
        <w:numPr>
          <w:ilvl w:val="0"/>
          <w:numId w:val="2"/>
        </w:numPr>
      </w:pPr>
      <w:r>
        <w:t>A different plan and/or delivery of care, on the balance of probability, would have been expected to result in a more favourable outcome</w:t>
      </w:r>
      <w:r w:rsidR="00357081">
        <w:t>.</w:t>
      </w:r>
    </w:p>
    <w:p w14:paraId="76139F53" w14:textId="014556F8" w:rsidR="009A58A0" w:rsidRPr="00581405" w:rsidRDefault="009A58A0" w:rsidP="009A58A0">
      <w:r w:rsidRPr="00581405">
        <w:t xml:space="preserve">Should </w:t>
      </w:r>
      <w:r w:rsidR="00964121">
        <w:t xml:space="preserve">the </w:t>
      </w:r>
      <w:r w:rsidRPr="00581405">
        <w:t>duty of candour appl</w:t>
      </w:r>
      <w:r w:rsidR="00127D41">
        <w:t xml:space="preserve">y </w:t>
      </w:r>
      <w:r w:rsidRPr="00581405">
        <w:t xml:space="preserve">then the service user, or their family, </w:t>
      </w:r>
      <w:r w:rsidR="00964121">
        <w:t xml:space="preserve">will </w:t>
      </w:r>
      <w:r w:rsidRPr="00581405">
        <w:t xml:space="preserve">be informed of the incident </w:t>
      </w:r>
      <w:r w:rsidR="00127D41">
        <w:t xml:space="preserve">as soon as possible and </w:t>
      </w:r>
      <w:r w:rsidRPr="00581405">
        <w:t>within 24 hours.  An offer of written notification, including an apology is submitted within a maximum period of five working days.</w:t>
      </w:r>
    </w:p>
    <w:p w14:paraId="69D4318E" w14:textId="050CB8FB" w:rsidR="009A58A0" w:rsidRPr="00581405" w:rsidRDefault="009A58A0" w:rsidP="009A58A0">
      <w:r w:rsidRPr="00581405">
        <w:t xml:space="preserve">The </w:t>
      </w:r>
      <w:r w:rsidR="00E34D5A">
        <w:t xml:space="preserve">General </w:t>
      </w:r>
      <w:r w:rsidRPr="00581405">
        <w:t>Manager will also report to the Care Inspectorate</w:t>
      </w:r>
      <w:r w:rsidR="00916E5B">
        <w:t xml:space="preserve"> and the Board of Directors</w:t>
      </w:r>
      <w:r w:rsidRPr="00581405">
        <w:t>.</w:t>
      </w:r>
    </w:p>
    <w:p w14:paraId="0C7DFEEA" w14:textId="08E8EB86" w:rsidR="009A58A0" w:rsidRPr="00581405" w:rsidRDefault="009A58A0" w:rsidP="009A58A0">
      <w:r w:rsidRPr="00581405">
        <w:t xml:space="preserve">An investigation process is then implemented which must be completed within 28 days.  Thereafter the investigation report, including Action Plans, is shared across the organisation within 5 working days of completion of the investigation.  This allows everyone involved to review what happened and identify changes </w:t>
      </w:r>
      <w:r w:rsidR="00916E5B">
        <w:t xml:space="preserve">and improvements </w:t>
      </w:r>
      <w:r w:rsidRPr="00581405">
        <w:t>for the future.</w:t>
      </w:r>
    </w:p>
    <w:p w14:paraId="24831640" w14:textId="0A0EBC17" w:rsidR="00071A21" w:rsidRPr="00581405" w:rsidRDefault="009C55CD" w:rsidP="00071A21">
      <w:r>
        <w:rPr>
          <w:sz w:val="24"/>
          <w:szCs w:val="24"/>
        </w:rPr>
        <w:t xml:space="preserve">Gateway’s </w:t>
      </w:r>
      <w:r w:rsidR="00014002">
        <w:rPr>
          <w:sz w:val="24"/>
          <w:szCs w:val="24"/>
        </w:rPr>
        <w:t xml:space="preserve">Duty of Candour </w:t>
      </w:r>
      <w:r w:rsidR="00ED50C2">
        <w:rPr>
          <w:sz w:val="24"/>
          <w:szCs w:val="24"/>
        </w:rPr>
        <w:t>Policy was last reviewed in February 2024.</w:t>
      </w:r>
      <w:r w:rsidR="00071A21" w:rsidRPr="00071A21">
        <w:t xml:space="preserve"> </w:t>
      </w:r>
      <w:r w:rsidR="00071A21" w:rsidRPr="00581405">
        <w:t xml:space="preserve">All new staff learn about the duty of candour at induction.  We know that serious mistakes can be distressing for staff as well as people who use care and their </w:t>
      </w:r>
      <w:r w:rsidR="00947A1F" w:rsidRPr="00581405">
        <w:t>families</w:t>
      </w:r>
      <w:r w:rsidR="006767B8">
        <w:t xml:space="preserve">. </w:t>
      </w:r>
      <w:r w:rsidR="00947A1F">
        <w:t xml:space="preserve"> </w:t>
      </w:r>
      <w:r w:rsidR="000E6FAE">
        <w:t xml:space="preserve">Gateway </w:t>
      </w:r>
      <w:r w:rsidR="0003291B">
        <w:t xml:space="preserve">have support mechanisms </w:t>
      </w:r>
      <w:r w:rsidR="00680C5A">
        <w:t xml:space="preserve">ordinarily have </w:t>
      </w:r>
      <w:r w:rsidR="0003291B">
        <w:t xml:space="preserve">in place access to external counselling and </w:t>
      </w:r>
      <w:r w:rsidR="002266C8">
        <w:t>supervision</w:t>
      </w:r>
      <w:r w:rsidR="00947A1F">
        <w:t xml:space="preserve"> </w:t>
      </w:r>
      <w:r w:rsidR="00680C5A">
        <w:t xml:space="preserve">for staff to </w:t>
      </w:r>
      <w:r w:rsidR="000E6FAE">
        <w:t xml:space="preserve">access </w:t>
      </w:r>
      <w:r w:rsidR="00A65530">
        <w:t xml:space="preserve">in the course of their daily work, </w:t>
      </w:r>
      <w:r w:rsidR="000E6FAE">
        <w:t xml:space="preserve">and where duty of candour </w:t>
      </w:r>
      <w:r w:rsidR="00A65530">
        <w:t>applies,</w:t>
      </w:r>
      <w:r w:rsidR="000E6FAE">
        <w:t xml:space="preserve"> we actively encourage access to this. </w:t>
      </w:r>
    </w:p>
    <w:p w14:paraId="3311EC0C" w14:textId="3C44E048" w:rsidR="009A58A0" w:rsidRDefault="00A118B3">
      <w:pPr>
        <w:rPr>
          <w:sz w:val="24"/>
          <w:szCs w:val="24"/>
        </w:rPr>
      </w:pPr>
      <w:r w:rsidRPr="00A118B3">
        <w:rPr>
          <w:sz w:val="24"/>
          <w:szCs w:val="24"/>
        </w:rPr>
        <w:t>Gateway</w:t>
      </w:r>
      <w:r w:rsidR="002357A5">
        <w:rPr>
          <w:sz w:val="24"/>
          <w:szCs w:val="24"/>
        </w:rPr>
        <w:t xml:space="preserve"> </w:t>
      </w:r>
      <w:r w:rsidR="00ED3A00">
        <w:rPr>
          <w:sz w:val="24"/>
          <w:szCs w:val="24"/>
        </w:rPr>
        <w:t>identifies</w:t>
      </w:r>
      <w:r w:rsidR="002357A5">
        <w:rPr>
          <w:sz w:val="24"/>
          <w:szCs w:val="24"/>
        </w:rPr>
        <w:t xml:space="preserve"> </w:t>
      </w:r>
      <w:r w:rsidR="00E578DD">
        <w:rPr>
          <w:sz w:val="24"/>
          <w:szCs w:val="24"/>
        </w:rPr>
        <w:t xml:space="preserve">and manages </w:t>
      </w:r>
      <w:r w:rsidR="002357A5">
        <w:rPr>
          <w:sz w:val="24"/>
          <w:szCs w:val="24"/>
        </w:rPr>
        <w:t xml:space="preserve">adverse events, </w:t>
      </w:r>
      <w:r w:rsidR="00ED3A00">
        <w:rPr>
          <w:sz w:val="24"/>
          <w:szCs w:val="24"/>
        </w:rPr>
        <w:t>incidents</w:t>
      </w:r>
      <w:r w:rsidR="002357A5">
        <w:rPr>
          <w:sz w:val="24"/>
          <w:szCs w:val="24"/>
        </w:rPr>
        <w:t>, accidents</w:t>
      </w:r>
      <w:r w:rsidR="00551035">
        <w:rPr>
          <w:sz w:val="24"/>
          <w:szCs w:val="24"/>
        </w:rPr>
        <w:t xml:space="preserve">, </w:t>
      </w:r>
      <w:r w:rsidR="002357A5">
        <w:rPr>
          <w:sz w:val="24"/>
          <w:szCs w:val="24"/>
        </w:rPr>
        <w:t>near misses</w:t>
      </w:r>
      <w:r w:rsidR="00551035">
        <w:rPr>
          <w:sz w:val="24"/>
          <w:szCs w:val="24"/>
        </w:rPr>
        <w:t xml:space="preserve"> and complaints </w:t>
      </w:r>
      <w:r w:rsidR="00ED3A00">
        <w:rPr>
          <w:sz w:val="24"/>
          <w:szCs w:val="24"/>
        </w:rPr>
        <w:t xml:space="preserve">through </w:t>
      </w:r>
      <w:r w:rsidR="00E578DD">
        <w:rPr>
          <w:sz w:val="24"/>
          <w:szCs w:val="24"/>
        </w:rPr>
        <w:t xml:space="preserve">our Incident Reporting System, where all </w:t>
      </w:r>
      <w:r w:rsidR="00A65530">
        <w:rPr>
          <w:sz w:val="24"/>
          <w:szCs w:val="24"/>
        </w:rPr>
        <w:t xml:space="preserve">such </w:t>
      </w:r>
      <w:r w:rsidR="00E578DD">
        <w:rPr>
          <w:sz w:val="24"/>
          <w:szCs w:val="24"/>
        </w:rPr>
        <w:t xml:space="preserve">reports </w:t>
      </w:r>
      <w:r w:rsidR="006979F3">
        <w:rPr>
          <w:sz w:val="24"/>
          <w:szCs w:val="24"/>
        </w:rPr>
        <w:t>are reviewed by the Senior Management Team and the General Manager.</w:t>
      </w:r>
      <w:r w:rsidR="00AD3C61" w:rsidRPr="00AD3C61">
        <w:t xml:space="preserve"> </w:t>
      </w:r>
      <w:r w:rsidR="00AD3C61">
        <w:t xml:space="preserve">The incident is </w:t>
      </w:r>
      <w:r w:rsidR="00A65530">
        <w:t>recorded,</w:t>
      </w:r>
      <w:r w:rsidR="00AD3C61">
        <w:t xml:space="preserve"> and the </w:t>
      </w:r>
      <w:r w:rsidR="00A65530">
        <w:t>N</w:t>
      </w:r>
      <w:r w:rsidR="00AD3C61">
        <w:t xml:space="preserve">amed </w:t>
      </w:r>
      <w:r w:rsidR="00A65530">
        <w:t>S</w:t>
      </w:r>
      <w:r w:rsidR="00AD3C61">
        <w:t>taff member completes the Care Inspectorate reporting e-form</w:t>
      </w:r>
      <w:r w:rsidR="009C0DA1">
        <w:t>.</w:t>
      </w:r>
    </w:p>
    <w:p w14:paraId="35065E01" w14:textId="7215201F" w:rsidR="00B513CC" w:rsidRDefault="0092144A">
      <w:r>
        <w:rPr>
          <w:sz w:val="24"/>
          <w:szCs w:val="24"/>
        </w:rPr>
        <w:t xml:space="preserve">Each of the Gateway </w:t>
      </w:r>
      <w:r w:rsidR="00AD3610">
        <w:rPr>
          <w:sz w:val="24"/>
          <w:szCs w:val="24"/>
        </w:rPr>
        <w:t>O</w:t>
      </w:r>
      <w:r w:rsidR="006A0F28">
        <w:rPr>
          <w:sz w:val="24"/>
          <w:szCs w:val="24"/>
        </w:rPr>
        <w:t xml:space="preserve">perational </w:t>
      </w:r>
      <w:r w:rsidR="00AD3610">
        <w:rPr>
          <w:sz w:val="24"/>
          <w:szCs w:val="24"/>
        </w:rPr>
        <w:t>S</w:t>
      </w:r>
      <w:r w:rsidR="006A0F28">
        <w:rPr>
          <w:sz w:val="24"/>
          <w:szCs w:val="24"/>
        </w:rPr>
        <w:t xml:space="preserve">ervice </w:t>
      </w:r>
      <w:r w:rsidR="00AD3610">
        <w:rPr>
          <w:sz w:val="24"/>
          <w:szCs w:val="24"/>
        </w:rPr>
        <w:t xml:space="preserve">Managers will have a </w:t>
      </w:r>
      <w:r w:rsidR="006A0F28">
        <w:t xml:space="preserve">check-in </w:t>
      </w:r>
      <w:r w:rsidR="00AD3610">
        <w:t xml:space="preserve">discussion </w:t>
      </w:r>
      <w:r w:rsidR="006A0F28">
        <w:t xml:space="preserve">meeting </w:t>
      </w:r>
      <w:r w:rsidR="00AD3610">
        <w:t xml:space="preserve">with the General Manager </w:t>
      </w:r>
      <w:r w:rsidR="006A0F28">
        <w:t xml:space="preserve">to identify cases which may trigger </w:t>
      </w:r>
      <w:r w:rsidR="00D7362A">
        <w:t xml:space="preserve">the </w:t>
      </w:r>
      <w:r w:rsidR="006A0F28">
        <w:t xml:space="preserve">duty of candour </w:t>
      </w:r>
      <w:r w:rsidR="001056CE">
        <w:t xml:space="preserve">process </w:t>
      </w:r>
      <w:r w:rsidR="006A0F28">
        <w:t xml:space="preserve">to establish what further investigation is required. The level of review depends on the severity of the event as well as the </w:t>
      </w:r>
      <w:r w:rsidR="00AD3610">
        <w:t>learning potential</w:t>
      </w:r>
      <w:r w:rsidR="006A0F28">
        <w:t xml:space="preserve">. </w:t>
      </w:r>
    </w:p>
    <w:p w14:paraId="53F70D47" w14:textId="19C04FDE" w:rsidR="00B513CC" w:rsidRDefault="00B513CC">
      <w:r>
        <w:t>At the monthly Senior Management Team Meeting</w:t>
      </w:r>
      <w:r w:rsidR="008512F0">
        <w:t xml:space="preserve"> consideration is given to investigation outcomes</w:t>
      </w:r>
      <w:r w:rsidR="00EA5378">
        <w:t xml:space="preserve">, </w:t>
      </w:r>
      <w:r w:rsidR="00130E1F">
        <w:t xml:space="preserve">action points </w:t>
      </w:r>
      <w:r w:rsidR="002C43BB">
        <w:t>and recommendations, and the ratification of any new processes</w:t>
      </w:r>
      <w:r w:rsidR="000F7C86">
        <w:t xml:space="preserve">, </w:t>
      </w:r>
      <w:r w:rsidR="001056CE">
        <w:t>training,</w:t>
      </w:r>
      <w:r w:rsidR="002C43BB">
        <w:t xml:space="preserve"> or policy requir</w:t>
      </w:r>
      <w:r w:rsidR="000F7C86">
        <w:t>ements</w:t>
      </w:r>
      <w:r w:rsidR="00EC40B8">
        <w:t>.</w:t>
      </w:r>
    </w:p>
    <w:p w14:paraId="2120A6FE" w14:textId="506BDEE2" w:rsidR="004945AE" w:rsidRPr="004945AE" w:rsidRDefault="004945AE">
      <w:pPr>
        <w:rPr>
          <w:b/>
          <w:bCs/>
          <w:sz w:val="28"/>
          <w:szCs w:val="28"/>
        </w:rPr>
      </w:pPr>
      <w:r w:rsidRPr="00235FDC">
        <w:rPr>
          <w:b/>
          <w:bCs/>
          <w:sz w:val="28"/>
          <w:szCs w:val="28"/>
        </w:rPr>
        <w:t>How many incidents happened to which the duty of candour applies?</w:t>
      </w:r>
    </w:p>
    <w:tbl>
      <w:tblPr>
        <w:tblStyle w:val="TableGrid"/>
        <w:tblW w:w="0" w:type="auto"/>
        <w:tblLook w:val="04A0" w:firstRow="1" w:lastRow="0" w:firstColumn="1" w:lastColumn="0" w:noHBand="0" w:noVBand="1"/>
      </w:tblPr>
      <w:tblGrid>
        <w:gridCol w:w="5524"/>
        <w:gridCol w:w="3492"/>
      </w:tblGrid>
      <w:tr w:rsidR="004945AE" w14:paraId="5FB0CB3F" w14:textId="77777777" w:rsidTr="00235FDC">
        <w:tc>
          <w:tcPr>
            <w:tcW w:w="5524" w:type="dxa"/>
          </w:tcPr>
          <w:p w14:paraId="59764BB2" w14:textId="16A622A3" w:rsidR="004945AE" w:rsidRPr="004945AE" w:rsidRDefault="004945AE" w:rsidP="004945AE">
            <w:pPr>
              <w:rPr>
                <w:b/>
                <w:bCs/>
              </w:rPr>
            </w:pPr>
            <w:r w:rsidRPr="004945AE">
              <w:rPr>
                <w:b/>
                <w:bCs/>
              </w:rPr>
              <w:t>Type of unexpected or unintended incident</w:t>
            </w:r>
          </w:p>
        </w:tc>
        <w:tc>
          <w:tcPr>
            <w:tcW w:w="3492" w:type="dxa"/>
          </w:tcPr>
          <w:p w14:paraId="2A42CC9F" w14:textId="121FC53E" w:rsidR="004945AE" w:rsidRPr="00AC3620" w:rsidRDefault="00AC3620" w:rsidP="004945AE">
            <w:pPr>
              <w:rPr>
                <w:b/>
                <w:bCs/>
              </w:rPr>
            </w:pPr>
            <w:r w:rsidRPr="00AC3620">
              <w:rPr>
                <w:b/>
                <w:bCs/>
              </w:rPr>
              <w:t>Number of times this happened</w:t>
            </w:r>
          </w:p>
        </w:tc>
      </w:tr>
      <w:tr w:rsidR="00235FDC" w14:paraId="7C9E6011" w14:textId="77777777" w:rsidTr="00235FDC">
        <w:tc>
          <w:tcPr>
            <w:tcW w:w="5524" w:type="dxa"/>
          </w:tcPr>
          <w:p w14:paraId="1C7227C6" w14:textId="79061A99" w:rsidR="00235FDC" w:rsidRDefault="00211955">
            <w:r>
              <w:t>Someone has died</w:t>
            </w:r>
          </w:p>
        </w:tc>
        <w:tc>
          <w:tcPr>
            <w:tcW w:w="3492" w:type="dxa"/>
          </w:tcPr>
          <w:p w14:paraId="626CA261" w14:textId="41BFB8AE" w:rsidR="00235FDC" w:rsidRDefault="00A95068">
            <w:r>
              <w:t>0</w:t>
            </w:r>
          </w:p>
        </w:tc>
      </w:tr>
      <w:tr w:rsidR="00235FDC" w14:paraId="30B13B8E" w14:textId="77777777" w:rsidTr="00235FDC">
        <w:tc>
          <w:tcPr>
            <w:tcW w:w="5524" w:type="dxa"/>
          </w:tcPr>
          <w:p w14:paraId="62D85D8A" w14:textId="6B13D90E" w:rsidR="00235FDC" w:rsidRDefault="006C5FD6">
            <w:r>
              <w:t>Someone has permanently less bodily, sensory, motor, physiologic or intellectual functions</w:t>
            </w:r>
          </w:p>
        </w:tc>
        <w:tc>
          <w:tcPr>
            <w:tcW w:w="3492" w:type="dxa"/>
          </w:tcPr>
          <w:p w14:paraId="21897098" w14:textId="731CBA7B" w:rsidR="00235FDC" w:rsidRDefault="00A95068">
            <w:r>
              <w:t>0</w:t>
            </w:r>
          </w:p>
        </w:tc>
      </w:tr>
      <w:tr w:rsidR="00235FDC" w14:paraId="21C69EB4" w14:textId="77777777" w:rsidTr="00235FDC">
        <w:tc>
          <w:tcPr>
            <w:tcW w:w="5524" w:type="dxa"/>
          </w:tcPr>
          <w:p w14:paraId="1A46833D" w14:textId="351C4D0E" w:rsidR="00235FDC" w:rsidRDefault="006C5FD6">
            <w:r>
              <w:t>Someone’s treatment has increased because of harm</w:t>
            </w:r>
          </w:p>
        </w:tc>
        <w:tc>
          <w:tcPr>
            <w:tcW w:w="3492" w:type="dxa"/>
          </w:tcPr>
          <w:p w14:paraId="17BFBBCF" w14:textId="77777777" w:rsidR="00235FDC" w:rsidRDefault="00A95068">
            <w:r>
              <w:t>1</w:t>
            </w:r>
          </w:p>
          <w:p w14:paraId="1E258E09" w14:textId="385F5F4C" w:rsidR="00A95068" w:rsidRDefault="00A95068"/>
        </w:tc>
      </w:tr>
      <w:tr w:rsidR="00235FDC" w14:paraId="1387B662" w14:textId="77777777" w:rsidTr="00235FDC">
        <w:tc>
          <w:tcPr>
            <w:tcW w:w="5524" w:type="dxa"/>
          </w:tcPr>
          <w:p w14:paraId="5BC3120A" w14:textId="7627D405" w:rsidR="00235FDC" w:rsidRDefault="002F3EA9">
            <w:r>
              <w:t>The structure of someone’s body changes because of harm</w:t>
            </w:r>
          </w:p>
        </w:tc>
        <w:tc>
          <w:tcPr>
            <w:tcW w:w="3492" w:type="dxa"/>
          </w:tcPr>
          <w:p w14:paraId="2E700F57" w14:textId="77777777" w:rsidR="00235FDC" w:rsidRDefault="00A95068">
            <w:r>
              <w:t>0</w:t>
            </w:r>
          </w:p>
          <w:p w14:paraId="659801BE" w14:textId="302B07A1" w:rsidR="00A95068" w:rsidRDefault="00A95068"/>
        </w:tc>
      </w:tr>
      <w:tr w:rsidR="00235FDC" w14:paraId="274E948F" w14:textId="77777777" w:rsidTr="00235FDC">
        <w:tc>
          <w:tcPr>
            <w:tcW w:w="5524" w:type="dxa"/>
          </w:tcPr>
          <w:p w14:paraId="586C97B4" w14:textId="1724C386" w:rsidR="00235FDC" w:rsidRDefault="002F3EA9">
            <w:r>
              <w:t>Someone’s life expectancy becomes shorter because of harm</w:t>
            </w:r>
          </w:p>
        </w:tc>
        <w:tc>
          <w:tcPr>
            <w:tcW w:w="3492" w:type="dxa"/>
          </w:tcPr>
          <w:p w14:paraId="5904C6E1" w14:textId="7DD08A92" w:rsidR="00235FDC" w:rsidRDefault="00A95068">
            <w:r>
              <w:t>0</w:t>
            </w:r>
          </w:p>
        </w:tc>
      </w:tr>
      <w:tr w:rsidR="00235FDC" w14:paraId="20D51245" w14:textId="77777777" w:rsidTr="00235FDC">
        <w:tc>
          <w:tcPr>
            <w:tcW w:w="5524" w:type="dxa"/>
          </w:tcPr>
          <w:p w14:paraId="0CA5FE3B" w14:textId="1C732A00" w:rsidR="00235FDC" w:rsidRDefault="00C2022D">
            <w:r>
              <w:t xml:space="preserve">Someone’s sensory, </w:t>
            </w:r>
            <w:r w:rsidR="00DE65F4">
              <w:t>motor,</w:t>
            </w:r>
            <w:r>
              <w:t xml:space="preserve"> or intellectual functions is impaired for 28 days or more</w:t>
            </w:r>
          </w:p>
        </w:tc>
        <w:tc>
          <w:tcPr>
            <w:tcW w:w="3492" w:type="dxa"/>
          </w:tcPr>
          <w:p w14:paraId="5716CD76" w14:textId="4460F022" w:rsidR="00235FDC" w:rsidRDefault="00A95068">
            <w:r>
              <w:t>0</w:t>
            </w:r>
          </w:p>
        </w:tc>
      </w:tr>
      <w:tr w:rsidR="00235FDC" w14:paraId="20BBE8F3" w14:textId="77777777" w:rsidTr="00235FDC">
        <w:tc>
          <w:tcPr>
            <w:tcW w:w="5524" w:type="dxa"/>
          </w:tcPr>
          <w:p w14:paraId="292A91D9" w14:textId="22203293" w:rsidR="00235FDC" w:rsidRDefault="001811E3">
            <w:r>
              <w:t>Someone experienced pain or psychological harm for 28 days or more</w:t>
            </w:r>
          </w:p>
        </w:tc>
        <w:tc>
          <w:tcPr>
            <w:tcW w:w="3492" w:type="dxa"/>
          </w:tcPr>
          <w:p w14:paraId="6129EED2" w14:textId="55E9342C" w:rsidR="00235FDC" w:rsidRDefault="00A95068">
            <w:r>
              <w:t>0</w:t>
            </w:r>
          </w:p>
        </w:tc>
      </w:tr>
      <w:tr w:rsidR="001811E3" w14:paraId="3850A92A" w14:textId="77777777" w:rsidTr="00235FDC">
        <w:tc>
          <w:tcPr>
            <w:tcW w:w="5524" w:type="dxa"/>
          </w:tcPr>
          <w:p w14:paraId="5DC10744" w14:textId="2A00BC77" w:rsidR="001811E3" w:rsidRDefault="00651786">
            <w:r>
              <w:t xml:space="preserve">A person needed health treatment </w:t>
            </w:r>
            <w:r w:rsidR="00BA21CE">
              <w:t>to</w:t>
            </w:r>
            <w:r>
              <w:t xml:space="preserve"> prevent them </w:t>
            </w:r>
            <w:r w:rsidR="005E7CA5">
              <w:t xml:space="preserve">from </w:t>
            </w:r>
            <w:r>
              <w:t>dying</w:t>
            </w:r>
          </w:p>
        </w:tc>
        <w:tc>
          <w:tcPr>
            <w:tcW w:w="3492" w:type="dxa"/>
          </w:tcPr>
          <w:p w14:paraId="5140A6ED" w14:textId="6E83646F" w:rsidR="001811E3" w:rsidRDefault="00A95068">
            <w:r>
              <w:t>0</w:t>
            </w:r>
          </w:p>
        </w:tc>
      </w:tr>
      <w:tr w:rsidR="001811E3" w14:paraId="14A7B6CF" w14:textId="77777777" w:rsidTr="00235FDC">
        <w:tc>
          <w:tcPr>
            <w:tcW w:w="5524" w:type="dxa"/>
          </w:tcPr>
          <w:p w14:paraId="72DC7FC8" w14:textId="2376A298" w:rsidR="001811E3" w:rsidRDefault="00A95068">
            <w:r>
              <w:t xml:space="preserve">A person needing health treatment </w:t>
            </w:r>
            <w:r w:rsidR="00BA21CE">
              <w:t>to</w:t>
            </w:r>
            <w:r>
              <w:t xml:space="preserve"> prevent other injuries</w:t>
            </w:r>
          </w:p>
        </w:tc>
        <w:tc>
          <w:tcPr>
            <w:tcW w:w="3492" w:type="dxa"/>
          </w:tcPr>
          <w:p w14:paraId="101F1CFC" w14:textId="41B0D81B" w:rsidR="001811E3" w:rsidRDefault="00A95068">
            <w:r>
              <w:t>0</w:t>
            </w:r>
          </w:p>
        </w:tc>
      </w:tr>
    </w:tbl>
    <w:p w14:paraId="669A2665" w14:textId="77777777" w:rsidR="00A50A28" w:rsidRDefault="00A50A28"/>
    <w:p w14:paraId="2E27DDDC" w14:textId="3FD98BBA" w:rsidR="00A50A28" w:rsidRDefault="00DE65F4">
      <w:pPr>
        <w:rPr>
          <w:b/>
          <w:bCs/>
          <w:sz w:val="28"/>
          <w:szCs w:val="28"/>
        </w:rPr>
      </w:pPr>
      <w:r w:rsidRPr="00DE65F4">
        <w:rPr>
          <w:b/>
          <w:bCs/>
          <w:sz w:val="28"/>
          <w:szCs w:val="28"/>
        </w:rPr>
        <w:t>To what extent did Gateway follow the duty of candour procedure?</w:t>
      </w:r>
    </w:p>
    <w:p w14:paraId="61964408" w14:textId="758F58F6" w:rsidR="00F57238" w:rsidRDefault="00F57238">
      <w:r>
        <w:t xml:space="preserve">In </w:t>
      </w:r>
      <w:r w:rsidR="00B922E3">
        <w:t>managing the incident,</w:t>
      </w:r>
      <w:r>
        <w:t xml:space="preserve"> the correct procedure was followed: </w:t>
      </w:r>
    </w:p>
    <w:p w14:paraId="51018822" w14:textId="6F68A549" w:rsidR="00F57238" w:rsidRDefault="00B922E3">
      <w:r>
        <w:t>Gateway informed</w:t>
      </w:r>
      <w:r w:rsidR="00F57238">
        <w:t xml:space="preserve"> the people affected, apologised to </w:t>
      </w:r>
      <w:r w:rsidR="0087545A">
        <w:t>them,</w:t>
      </w:r>
      <w:r w:rsidR="00F57238">
        <w:t xml:space="preserve"> and arranged to meet with them. </w:t>
      </w:r>
    </w:p>
    <w:p w14:paraId="5170D552" w14:textId="51DEB3E7" w:rsidR="00F57238" w:rsidRDefault="00F57238">
      <w:r>
        <w:t xml:space="preserve">Internally senior staff reflected on the events </w:t>
      </w:r>
      <w:r w:rsidR="0020105C">
        <w:t xml:space="preserve">and </w:t>
      </w:r>
      <w:r>
        <w:t xml:space="preserve">identified where systems went wrong and what could we </w:t>
      </w:r>
      <w:r w:rsidR="007F2AA8">
        <w:t>do</w:t>
      </w:r>
      <w:r>
        <w:t xml:space="preserve"> better.</w:t>
      </w:r>
    </w:p>
    <w:p w14:paraId="5A08B25F" w14:textId="572C02B1" w:rsidR="00F57238" w:rsidRDefault="00503305">
      <w:r>
        <w:t xml:space="preserve">We </w:t>
      </w:r>
      <w:r w:rsidR="001056CE">
        <w:t xml:space="preserve">convened </w:t>
      </w:r>
      <w:r>
        <w:t>a multi-disciplinary team meeting</w:t>
      </w:r>
      <w:r w:rsidR="0027259A">
        <w:t xml:space="preserve">, </w:t>
      </w:r>
      <w:r w:rsidR="00A930AC">
        <w:t xml:space="preserve">including with the </w:t>
      </w:r>
      <w:r w:rsidR="00F03F54">
        <w:t xml:space="preserve">person affected, the </w:t>
      </w:r>
      <w:r w:rsidR="00A930AC">
        <w:t xml:space="preserve">guardian </w:t>
      </w:r>
      <w:r w:rsidR="0038328A">
        <w:t xml:space="preserve">and a family member </w:t>
      </w:r>
      <w:r w:rsidR="00A930AC">
        <w:t xml:space="preserve">as the person concerned </w:t>
      </w:r>
      <w:r w:rsidR="00B6534E">
        <w:t xml:space="preserve">is deemed to lack capacity. We shared information </w:t>
      </w:r>
      <w:r w:rsidR="006133B0">
        <w:t xml:space="preserve">about our internal </w:t>
      </w:r>
      <w:r w:rsidR="0038328A">
        <w:t>investigation, including</w:t>
      </w:r>
      <w:r w:rsidR="006133B0">
        <w:t xml:space="preserve"> </w:t>
      </w:r>
      <w:r w:rsidR="0038328A">
        <w:t xml:space="preserve">the </w:t>
      </w:r>
      <w:r w:rsidR="00374FEB">
        <w:t xml:space="preserve">Gateway </w:t>
      </w:r>
      <w:r w:rsidR="0038328A">
        <w:t>policies and procedures which were reviewed</w:t>
      </w:r>
      <w:r w:rsidR="00374FEB">
        <w:t xml:space="preserve"> </w:t>
      </w:r>
      <w:r w:rsidR="0065320E">
        <w:t>because of</w:t>
      </w:r>
      <w:r w:rsidR="00374FEB">
        <w:t xml:space="preserve"> the incident</w:t>
      </w:r>
      <w:r w:rsidR="0038328A">
        <w:t>.</w:t>
      </w:r>
    </w:p>
    <w:p w14:paraId="77D07A0B" w14:textId="5D42CD06" w:rsidR="00DE65F4" w:rsidRDefault="00F57238">
      <w:r>
        <w:t xml:space="preserve">The family of the person met with our </w:t>
      </w:r>
      <w:r w:rsidR="00F03F54">
        <w:t>N</w:t>
      </w:r>
      <w:r>
        <w:t xml:space="preserve">amed </w:t>
      </w:r>
      <w:r w:rsidR="00F03F54">
        <w:t>P</w:t>
      </w:r>
      <w:r>
        <w:t xml:space="preserve">erson and </w:t>
      </w:r>
      <w:r w:rsidR="0065320E">
        <w:t xml:space="preserve">another </w:t>
      </w:r>
      <w:r w:rsidR="00F03F54">
        <w:t>S</w:t>
      </w:r>
      <w:r w:rsidR="0065320E">
        <w:t xml:space="preserve">enior </w:t>
      </w:r>
      <w:r w:rsidR="00F03F54">
        <w:t>M</w:t>
      </w:r>
      <w:r w:rsidR="001056CE">
        <w:t>anager,</w:t>
      </w:r>
      <w:r w:rsidR="0065320E">
        <w:t xml:space="preserve"> and they </w:t>
      </w:r>
      <w:r>
        <w:t>appreciated the sharing of information and made some positive suggestions for staff learning which we have incorporated</w:t>
      </w:r>
      <w:r w:rsidR="00AF0DDE">
        <w:t>.</w:t>
      </w:r>
    </w:p>
    <w:p w14:paraId="7E04C07E" w14:textId="5C422610" w:rsidR="009B52CB" w:rsidRPr="00DE65F4" w:rsidRDefault="009B52CB">
      <w:pPr>
        <w:rPr>
          <w:b/>
          <w:bCs/>
          <w:sz w:val="28"/>
          <w:szCs w:val="28"/>
        </w:rPr>
      </w:pPr>
      <w:r>
        <w:t xml:space="preserve">We have informed all parties as required to meet the legislative requirements </w:t>
      </w:r>
      <w:r w:rsidR="002744D8">
        <w:t>of a care provider.</w:t>
      </w:r>
    </w:p>
    <w:p w14:paraId="541715DC" w14:textId="70BB1CA2" w:rsidR="00A50A28" w:rsidRPr="00F05A17" w:rsidRDefault="00F05A17">
      <w:pPr>
        <w:rPr>
          <w:b/>
          <w:bCs/>
          <w:sz w:val="28"/>
          <w:szCs w:val="28"/>
        </w:rPr>
      </w:pPr>
      <w:r>
        <w:rPr>
          <w:b/>
          <w:bCs/>
          <w:sz w:val="28"/>
          <w:szCs w:val="28"/>
        </w:rPr>
        <w:t>What has changed as a result</w:t>
      </w:r>
      <w:r w:rsidR="002744D8">
        <w:rPr>
          <w:b/>
          <w:bCs/>
          <w:sz w:val="28"/>
          <w:szCs w:val="28"/>
        </w:rPr>
        <w:t>?</w:t>
      </w:r>
      <w:r>
        <w:rPr>
          <w:b/>
          <w:bCs/>
          <w:sz w:val="28"/>
          <w:szCs w:val="28"/>
        </w:rPr>
        <w:t xml:space="preserve"> </w:t>
      </w:r>
    </w:p>
    <w:p w14:paraId="03B4B1AC" w14:textId="084C78AE" w:rsidR="00A50A28" w:rsidRDefault="004270C2">
      <w:r>
        <w:t>Several</w:t>
      </w:r>
      <w:r w:rsidR="002744D8">
        <w:t xml:space="preserve"> Gateway Policies have been changed</w:t>
      </w:r>
      <w:r>
        <w:t xml:space="preserve">, </w:t>
      </w:r>
      <w:r w:rsidR="002C0019">
        <w:t>updated,</w:t>
      </w:r>
      <w:r>
        <w:t xml:space="preserve"> and shared with staff. </w:t>
      </w:r>
    </w:p>
    <w:p w14:paraId="5C954720" w14:textId="2D08EFFD" w:rsidR="0087081F" w:rsidRDefault="00E56E6A">
      <w:r>
        <w:t>Several</w:t>
      </w:r>
      <w:r w:rsidR="0087081F">
        <w:t xml:space="preserve"> new policies have been put in place.</w:t>
      </w:r>
    </w:p>
    <w:p w14:paraId="0AB7A633" w14:textId="072510A1" w:rsidR="007F07EC" w:rsidRDefault="002C0019">
      <w:r>
        <w:t xml:space="preserve">There has been a review of </w:t>
      </w:r>
      <w:r w:rsidR="00E56E6A">
        <w:t xml:space="preserve">our </w:t>
      </w:r>
      <w:r w:rsidR="007F07EC">
        <w:t>Risk Assessment</w:t>
      </w:r>
      <w:r w:rsidR="00E56E6A">
        <w:t xml:space="preserve"> processes</w:t>
      </w:r>
      <w:r w:rsidR="007F07EC">
        <w:t>.</w:t>
      </w:r>
    </w:p>
    <w:p w14:paraId="1114459A" w14:textId="22C7D2E9" w:rsidR="007F07EC" w:rsidRDefault="00E31D87">
      <w:r>
        <w:t xml:space="preserve">We have placed this report on our website. For further information </w:t>
      </w:r>
      <w:r w:rsidR="000B5947">
        <w:t xml:space="preserve">please contact </w:t>
      </w:r>
      <w:hyperlink r:id="rId8" w:history="1">
        <w:r w:rsidR="000B5947" w:rsidRPr="004B2E7B">
          <w:rPr>
            <w:rStyle w:val="Hyperlink"/>
          </w:rPr>
          <w:t>info@homelesstrust.org.uk</w:t>
        </w:r>
      </w:hyperlink>
    </w:p>
    <w:p w14:paraId="721671EB" w14:textId="77777777" w:rsidR="000B5947" w:rsidRDefault="000B5947"/>
    <w:p w14:paraId="38B31EFC" w14:textId="77777777" w:rsidR="004270C2" w:rsidRDefault="004270C2"/>
    <w:p w14:paraId="324CFB73" w14:textId="77777777" w:rsidR="004270C2" w:rsidRDefault="004270C2"/>
    <w:p w14:paraId="6251B7F1" w14:textId="77777777" w:rsidR="004270C2" w:rsidRDefault="004270C2"/>
    <w:p w14:paraId="0A85B5E0" w14:textId="77777777" w:rsidR="00A50A28" w:rsidRDefault="00A50A28"/>
    <w:p w14:paraId="5B772779" w14:textId="77777777" w:rsidR="00A50A28" w:rsidRDefault="00A50A28"/>
    <w:p w14:paraId="7182A0B5" w14:textId="77777777" w:rsidR="00A50A28" w:rsidRDefault="00A50A28"/>
    <w:p w14:paraId="2BC6DF78" w14:textId="624041AC" w:rsidR="00E67CC9" w:rsidRPr="00152DE1" w:rsidRDefault="00E67CC9">
      <w:pPr>
        <w:rPr>
          <w:b/>
          <w:bCs/>
        </w:rPr>
      </w:pPr>
    </w:p>
    <w:sectPr w:rsidR="00E67CC9" w:rsidRPr="00152DE1">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DB74D" w14:textId="77777777" w:rsidR="00FF07CD" w:rsidRDefault="00FF07CD" w:rsidP="00E56E6A">
      <w:pPr>
        <w:spacing w:after="0" w:line="240" w:lineRule="auto"/>
      </w:pPr>
      <w:r>
        <w:separator/>
      </w:r>
    </w:p>
  </w:endnote>
  <w:endnote w:type="continuationSeparator" w:id="0">
    <w:p w14:paraId="793E388E" w14:textId="77777777" w:rsidR="00FF07CD" w:rsidRDefault="00FF07CD" w:rsidP="00E5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398295"/>
      <w:docPartObj>
        <w:docPartGallery w:val="Page Numbers (Bottom of Page)"/>
        <w:docPartUnique/>
      </w:docPartObj>
    </w:sdtPr>
    <w:sdtEndPr>
      <w:rPr>
        <w:noProof/>
      </w:rPr>
    </w:sdtEndPr>
    <w:sdtContent>
      <w:p w14:paraId="4537CBE9" w14:textId="11759B44" w:rsidR="00E56E6A" w:rsidRDefault="00E56E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34C9E7" w14:textId="77777777" w:rsidR="00E56E6A" w:rsidRDefault="00E5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895A6" w14:textId="77777777" w:rsidR="00FF07CD" w:rsidRDefault="00FF07CD" w:rsidP="00E56E6A">
      <w:pPr>
        <w:spacing w:after="0" w:line="240" w:lineRule="auto"/>
      </w:pPr>
      <w:r>
        <w:separator/>
      </w:r>
    </w:p>
  </w:footnote>
  <w:footnote w:type="continuationSeparator" w:id="0">
    <w:p w14:paraId="03BE8A86" w14:textId="77777777" w:rsidR="00FF07CD" w:rsidRDefault="00FF07CD" w:rsidP="00E56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ACA"/>
      </v:shape>
    </w:pict>
  </w:numPicBullet>
  <w:abstractNum w:abstractNumId="0" w15:restartNumberingAfterBreak="0">
    <w:nsid w:val="2E8E314C"/>
    <w:multiLevelType w:val="hybridMultilevel"/>
    <w:tmpl w:val="08C82012"/>
    <w:lvl w:ilvl="0" w:tplc="08090007">
      <w:start w:val="1"/>
      <w:numFmt w:val="bullet"/>
      <w:lvlText w:val=""/>
      <w:lvlPicBulletId w:val="0"/>
      <w:lvlJc w:val="left"/>
      <w:pPr>
        <w:ind w:left="720" w:hanging="360"/>
      </w:pPr>
      <w:rPr>
        <w:rFonts w:ascii="Symbol" w:hAnsi="Symbol" w:hint="default"/>
      </w:rPr>
    </w:lvl>
    <w:lvl w:ilvl="1" w:tplc="993AE3F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905FB2"/>
    <w:multiLevelType w:val="hybridMultilevel"/>
    <w:tmpl w:val="1A52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616541">
    <w:abstractNumId w:val="1"/>
  </w:num>
  <w:num w:numId="2" w16cid:durableId="178306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C3"/>
    <w:rsid w:val="00002F8C"/>
    <w:rsid w:val="00014002"/>
    <w:rsid w:val="0003291B"/>
    <w:rsid w:val="00035179"/>
    <w:rsid w:val="00071A21"/>
    <w:rsid w:val="000879C0"/>
    <w:rsid w:val="000917FB"/>
    <w:rsid w:val="000B5947"/>
    <w:rsid w:val="000E4538"/>
    <w:rsid w:val="000E6FAE"/>
    <w:rsid w:val="000F3620"/>
    <w:rsid w:val="000F7C86"/>
    <w:rsid w:val="001056CE"/>
    <w:rsid w:val="00127D41"/>
    <w:rsid w:val="00130E1F"/>
    <w:rsid w:val="00152DE1"/>
    <w:rsid w:val="00162760"/>
    <w:rsid w:val="001811E3"/>
    <w:rsid w:val="001957E2"/>
    <w:rsid w:val="0020105C"/>
    <w:rsid w:val="00206EA1"/>
    <w:rsid w:val="00211955"/>
    <w:rsid w:val="00226048"/>
    <w:rsid w:val="002266C8"/>
    <w:rsid w:val="00232577"/>
    <w:rsid w:val="002357A5"/>
    <w:rsid w:val="00235FDC"/>
    <w:rsid w:val="0027259A"/>
    <w:rsid w:val="002744D8"/>
    <w:rsid w:val="002A4948"/>
    <w:rsid w:val="002C0019"/>
    <w:rsid w:val="002C43BB"/>
    <w:rsid w:val="002C6353"/>
    <w:rsid w:val="002F3EA9"/>
    <w:rsid w:val="0030387B"/>
    <w:rsid w:val="003224B8"/>
    <w:rsid w:val="00357081"/>
    <w:rsid w:val="00374FEB"/>
    <w:rsid w:val="0038328A"/>
    <w:rsid w:val="00396984"/>
    <w:rsid w:val="00416A30"/>
    <w:rsid w:val="00425ADD"/>
    <w:rsid w:val="004270C2"/>
    <w:rsid w:val="00456DB3"/>
    <w:rsid w:val="004945AE"/>
    <w:rsid w:val="004C3E39"/>
    <w:rsid w:val="004C7097"/>
    <w:rsid w:val="004D2581"/>
    <w:rsid w:val="004F0457"/>
    <w:rsid w:val="00503305"/>
    <w:rsid w:val="0053256B"/>
    <w:rsid w:val="00551035"/>
    <w:rsid w:val="00581405"/>
    <w:rsid w:val="005905C2"/>
    <w:rsid w:val="005B4E5D"/>
    <w:rsid w:val="005B7811"/>
    <w:rsid w:val="005E7CA5"/>
    <w:rsid w:val="006133B0"/>
    <w:rsid w:val="00617CA7"/>
    <w:rsid w:val="00651786"/>
    <w:rsid w:val="0065320E"/>
    <w:rsid w:val="006767B8"/>
    <w:rsid w:val="00680C5A"/>
    <w:rsid w:val="006930C3"/>
    <w:rsid w:val="006979F3"/>
    <w:rsid w:val="006A0F28"/>
    <w:rsid w:val="006C5FD6"/>
    <w:rsid w:val="006E3E5B"/>
    <w:rsid w:val="007477DB"/>
    <w:rsid w:val="00753308"/>
    <w:rsid w:val="007D5AC1"/>
    <w:rsid w:val="007F07EC"/>
    <w:rsid w:val="007F2AA8"/>
    <w:rsid w:val="00827153"/>
    <w:rsid w:val="008512F0"/>
    <w:rsid w:val="0087081F"/>
    <w:rsid w:val="0087545A"/>
    <w:rsid w:val="008A1AC8"/>
    <w:rsid w:val="008A6E7A"/>
    <w:rsid w:val="008D7B22"/>
    <w:rsid w:val="00915465"/>
    <w:rsid w:val="00916E5B"/>
    <w:rsid w:val="00920BF9"/>
    <w:rsid w:val="0092144A"/>
    <w:rsid w:val="00947A1F"/>
    <w:rsid w:val="00956D47"/>
    <w:rsid w:val="00964121"/>
    <w:rsid w:val="009A58A0"/>
    <w:rsid w:val="009A7C9D"/>
    <w:rsid w:val="009B52CB"/>
    <w:rsid w:val="009C0DA1"/>
    <w:rsid w:val="009C55CD"/>
    <w:rsid w:val="009C6752"/>
    <w:rsid w:val="009C7230"/>
    <w:rsid w:val="00A118B3"/>
    <w:rsid w:val="00A50A28"/>
    <w:rsid w:val="00A568D9"/>
    <w:rsid w:val="00A65530"/>
    <w:rsid w:val="00A65B4F"/>
    <w:rsid w:val="00A7149D"/>
    <w:rsid w:val="00A930AC"/>
    <w:rsid w:val="00A95068"/>
    <w:rsid w:val="00AC3620"/>
    <w:rsid w:val="00AD1967"/>
    <w:rsid w:val="00AD3610"/>
    <w:rsid w:val="00AD3C61"/>
    <w:rsid w:val="00AF0DDE"/>
    <w:rsid w:val="00B345F1"/>
    <w:rsid w:val="00B513CC"/>
    <w:rsid w:val="00B6534E"/>
    <w:rsid w:val="00B922E3"/>
    <w:rsid w:val="00BA21CE"/>
    <w:rsid w:val="00C2022D"/>
    <w:rsid w:val="00CB61A8"/>
    <w:rsid w:val="00D72832"/>
    <w:rsid w:val="00D7362A"/>
    <w:rsid w:val="00DD1661"/>
    <w:rsid w:val="00DE65F4"/>
    <w:rsid w:val="00E17607"/>
    <w:rsid w:val="00E272A6"/>
    <w:rsid w:val="00E31D87"/>
    <w:rsid w:val="00E34D5A"/>
    <w:rsid w:val="00E56E6A"/>
    <w:rsid w:val="00E578DD"/>
    <w:rsid w:val="00E67CC9"/>
    <w:rsid w:val="00EA5378"/>
    <w:rsid w:val="00EC40B8"/>
    <w:rsid w:val="00ED3A00"/>
    <w:rsid w:val="00ED50C2"/>
    <w:rsid w:val="00EF1F39"/>
    <w:rsid w:val="00F03F54"/>
    <w:rsid w:val="00F05A17"/>
    <w:rsid w:val="00F17682"/>
    <w:rsid w:val="00F57238"/>
    <w:rsid w:val="00F91D2E"/>
    <w:rsid w:val="00FE3205"/>
    <w:rsid w:val="00FE37A6"/>
    <w:rsid w:val="00FF07CD"/>
    <w:rsid w:val="00FF6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87E56"/>
  <w15:docId w15:val="{93CC991C-8191-45BA-884A-4188A1B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3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0C3"/>
    <w:rPr>
      <w:rFonts w:ascii="Tahoma" w:hAnsi="Tahoma" w:cs="Tahoma"/>
      <w:sz w:val="16"/>
      <w:szCs w:val="16"/>
    </w:rPr>
  </w:style>
  <w:style w:type="character" w:styleId="Hyperlink">
    <w:name w:val="Hyperlink"/>
    <w:basedOn w:val="DefaultParagraphFont"/>
    <w:uiPriority w:val="99"/>
    <w:unhideWhenUsed/>
    <w:rsid w:val="00E67CC9"/>
    <w:rPr>
      <w:color w:val="0000FF" w:themeColor="hyperlink"/>
      <w:u w:val="single"/>
    </w:rPr>
  </w:style>
  <w:style w:type="character" w:styleId="UnresolvedMention">
    <w:name w:val="Unresolved Mention"/>
    <w:basedOn w:val="DefaultParagraphFont"/>
    <w:uiPriority w:val="99"/>
    <w:semiHidden/>
    <w:unhideWhenUsed/>
    <w:rsid w:val="00E67CC9"/>
    <w:rPr>
      <w:color w:val="605E5C"/>
      <w:shd w:val="clear" w:color="auto" w:fill="E1DFDD"/>
    </w:rPr>
  </w:style>
  <w:style w:type="table" w:styleId="TableGrid">
    <w:name w:val="Table Grid"/>
    <w:basedOn w:val="TableNormal"/>
    <w:uiPriority w:val="59"/>
    <w:rsid w:val="00235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E6A"/>
  </w:style>
  <w:style w:type="paragraph" w:styleId="Footer">
    <w:name w:val="footer"/>
    <w:basedOn w:val="Normal"/>
    <w:link w:val="FooterChar"/>
    <w:uiPriority w:val="99"/>
    <w:unhideWhenUsed/>
    <w:rsid w:val="00E56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E6A"/>
  </w:style>
  <w:style w:type="paragraph" w:styleId="ListParagraph">
    <w:name w:val="List Paragraph"/>
    <w:basedOn w:val="Normal"/>
    <w:uiPriority w:val="34"/>
    <w:qFormat/>
    <w:rsid w:val="00162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melesstrust.org.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Annabel  Mowat</cp:lastModifiedBy>
  <cp:revision>121</cp:revision>
  <dcterms:created xsi:type="dcterms:W3CDTF">2024-04-11T11:32:00Z</dcterms:created>
  <dcterms:modified xsi:type="dcterms:W3CDTF">2024-04-11T14:17:00Z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e46f6b8337eb7c3c443dd2d1f32c88248a4768200bd4081b5e3aab7f485f2488</vt:lpwstr>
  </property>
</Properties>
</file>